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9D0B61" w:rsidTr="00CC6D33">
        <w:tc>
          <w:tcPr>
            <w:tcW w:w="5000" w:type="pct"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17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9D0B61" w:rsidRDefault="009D0B61" w:rsidP="009D0B61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9D0B61" w:rsidRDefault="009D0B61" w:rsidP="009D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9D0B61" w:rsidRDefault="009D0B61" w:rsidP="009D0B6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38:15:040301:ЗУ1)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урхун , ул. Набережная № 7 контейнерная площадка. </w:t>
      </w:r>
    </w:p>
    <w:p w:rsidR="009D0B61" w:rsidRDefault="009D0B61" w:rsidP="009D0B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9D0B61" w:rsidRDefault="009D0B61" w:rsidP="009D0B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Pr="009C5B35" w:rsidRDefault="009D0B61" w:rsidP="009D0B6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D0B61" w:rsidRDefault="009D0B61" w:rsidP="009D0B6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0B61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8F02C9"/>
    <w:rsid w:val="00945C6E"/>
    <w:rsid w:val="009C5B35"/>
    <w:rsid w:val="009D0B61"/>
    <w:rsid w:val="00A401E7"/>
    <w:rsid w:val="00AE6E19"/>
    <w:rsid w:val="00BA36CB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EA7A-D859-46E0-A3EC-FADD7EE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2019-03-25T01:15:00Z</dcterms:modified>
</cp:coreProperties>
</file>