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7F58EE">
        <w:rPr>
          <w:rFonts w:ascii="Times New Roman" w:hAnsi="Times New Roman" w:cs="Times New Roman"/>
          <w:b/>
          <w:sz w:val="32"/>
          <w:szCs w:val="32"/>
        </w:rPr>
        <w:t xml:space="preserve">БУРХУНСКОГО </w:t>
      </w:r>
      <w:r w:rsidRPr="00DF79FB">
        <w:rPr>
          <w:rFonts w:ascii="Times New Roman" w:hAnsi="Times New Roman" w:cs="Times New Roman"/>
          <w:b/>
          <w:sz w:val="32"/>
          <w:szCs w:val="32"/>
        </w:rPr>
        <w:t>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7F58EE" w:rsidP="00E31D5E">
      <w:pPr>
        <w:rPr>
          <w:rFonts w:ascii="Times New Roman" w:hAnsi="Times New Roman" w:cs="Times New Roman"/>
          <w:b/>
          <w:sz w:val="28"/>
          <w:szCs w:val="28"/>
        </w:rPr>
      </w:pPr>
      <w:r>
        <w:rPr>
          <w:rFonts w:ascii="Times New Roman" w:hAnsi="Times New Roman" w:cs="Times New Roman"/>
          <w:b/>
          <w:sz w:val="28"/>
          <w:szCs w:val="28"/>
        </w:rPr>
        <w:t>« 24 » декабря</w:t>
      </w:r>
      <w:r w:rsidR="00E31D5E" w:rsidRPr="00E31D5E">
        <w:rPr>
          <w:rFonts w:ascii="Times New Roman" w:hAnsi="Times New Roman" w:cs="Times New Roman"/>
          <w:b/>
          <w:sz w:val="28"/>
          <w:szCs w:val="28"/>
        </w:rPr>
        <w:t xml:space="preserve"> 2024 года              </w:t>
      </w:r>
      <w:r w:rsidR="00E31D5E">
        <w:rPr>
          <w:rFonts w:ascii="Times New Roman" w:hAnsi="Times New Roman" w:cs="Times New Roman"/>
          <w:b/>
          <w:sz w:val="28"/>
          <w:szCs w:val="28"/>
        </w:rPr>
        <w:t xml:space="preserve">       </w:t>
      </w:r>
      <w:r>
        <w:rPr>
          <w:rFonts w:ascii="Times New Roman" w:hAnsi="Times New Roman" w:cs="Times New Roman"/>
          <w:b/>
          <w:sz w:val="28"/>
          <w:szCs w:val="28"/>
        </w:rPr>
        <w:t xml:space="preserve">               № 35</w:t>
      </w:r>
    </w:p>
    <w:p w:rsidR="00E31D5E" w:rsidRPr="00E31D5E" w:rsidRDefault="00E31D5E" w:rsidP="00E31D5E">
      <w:pPr>
        <w:rPr>
          <w:rFonts w:ascii="Times New Roman" w:hAnsi="Times New Roman" w:cs="Times New Roman"/>
          <w:b/>
          <w:sz w:val="28"/>
          <w:szCs w:val="28"/>
        </w:rPr>
      </w:pPr>
    </w:p>
    <w:p w:rsidR="00E31D5E" w:rsidRPr="00E31D5E" w:rsidRDefault="007F58EE" w:rsidP="00E31D5E">
      <w:pPr>
        <w:jc w:val="center"/>
        <w:rPr>
          <w:rFonts w:ascii="Times New Roman" w:hAnsi="Times New Roman" w:cs="Times New Roman"/>
          <w:b/>
          <w:sz w:val="28"/>
          <w:szCs w:val="28"/>
        </w:rPr>
      </w:pPr>
      <w:r>
        <w:rPr>
          <w:rFonts w:ascii="Times New Roman" w:hAnsi="Times New Roman" w:cs="Times New Roman"/>
          <w:b/>
          <w:sz w:val="28"/>
          <w:szCs w:val="28"/>
        </w:rPr>
        <w:t>с. Бурхун</w:t>
      </w:r>
    </w:p>
    <w:p w:rsidR="00E31D5E" w:rsidRPr="00E31D5E" w:rsidRDefault="00E31D5E" w:rsidP="00E31D5E">
      <w:pPr>
        <w:rPr>
          <w:rFonts w:ascii="Times New Roman" w:hAnsi="Times New Roman" w:cs="Times New Roman"/>
          <w:sz w:val="28"/>
          <w:szCs w:val="28"/>
        </w:rPr>
      </w:pPr>
    </w:p>
    <w:p w:rsidR="00E31D5E" w:rsidRPr="00DF79FB" w:rsidRDefault="00AB161A"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7F58EE">
          <w:rPr>
            <w:rStyle w:val="a4"/>
            <w:rFonts w:ascii="Times New Roman" w:hAnsi="Times New Roman" w:cs="Times New Roman"/>
            <w:i/>
            <w:color w:val="auto"/>
            <w:sz w:val="28"/>
            <w:szCs w:val="28"/>
          </w:rPr>
          <w:t>Бурхунксого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7F58EE">
        <w:rPr>
          <w:rFonts w:ascii="Times New Roman" w:hAnsi="Times New Roman" w:cs="Times New Roman"/>
          <w:sz w:val="28"/>
          <w:szCs w:val="28"/>
        </w:rPr>
        <w:t>Бурхунксого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7F58EE">
        <w:rPr>
          <w:rFonts w:ascii="Times New Roman" w:hAnsi="Times New Roman" w:cs="Times New Roman"/>
          <w:sz w:val="28"/>
          <w:szCs w:val="28"/>
        </w:rPr>
        <w:t>Бурхунксого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7F58EE">
        <w:rPr>
          <w:rFonts w:ascii="Times New Roman" w:hAnsi="Times New Roman" w:cs="Times New Roman"/>
          <w:sz w:val="28"/>
          <w:szCs w:val="28"/>
        </w:rPr>
        <w:t>Бурхунксого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7F58EE">
        <w:rPr>
          <w:rFonts w:ascii="Times New Roman" w:hAnsi="Times New Roman" w:cs="Times New Roman"/>
          <w:sz w:val="28"/>
          <w:szCs w:val="28"/>
        </w:rPr>
        <w:t>Бурхунского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0D5802">
        <w:rPr>
          <w:rFonts w:ascii="Times New Roman" w:hAnsi="Times New Roman" w:cs="Times New Roman"/>
          <w:sz w:val="28"/>
          <w:szCs w:val="28"/>
        </w:rPr>
        <w:t xml:space="preserve">постановление Администрации </w:t>
      </w:r>
      <w:r w:rsidR="007F58EE">
        <w:rPr>
          <w:rFonts w:ascii="Times New Roman" w:hAnsi="Times New Roman" w:cs="Times New Roman"/>
          <w:sz w:val="28"/>
          <w:szCs w:val="28"/>
        </w:rPr>
        <w:t>Бурхунского</w:t>
      </w:r>
      <w:r w:rsidR="00BE0F18">
        <w:rPr>
          <w:rFonts w:ascii="Times New Roman" w:hAnsi="Times New Roman" w:cs="Times New Roman"/>
          <w:sz w:val="28"/>
          <w:szCs w:val="28"/>
        </w:rPr>
        <w:t xml:space="preserve"> сельского поселения от 17.07.2017 года 25</w:t>
      </w:r>
      <w:r w:rsidR="000D5802">
        <w:rPr>
          <w:rFonts w:ascii="Times New Roman" w:hAnsi="Times New Roman" w:cs="Times New Roman"/>
          <w:sz w:val="28"/>
          <w:szCs w:val="28"/>
        </w:rPr>
        <w:t xml:space="preserve">-пг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7F58EE">
        <w:rPr>
          <w:rFonts w:ascii="Times New Roman" w:hAnsi="Times New Roman" w:cs="Times New Roman"/>
          <w:sz w:val="28"/>
          <w:szCs w:val="28"/>
        </w:rPr>
        <w:t>Бурхунского</w:t>
      </w:r>
      <w:r w:rsidR="000D5802" w:rsidRPr="000D5802">
        <w:rPr>
          <w:rFonts w:ascii="Times New Roman" w:hAnsi="Times New Roman" w:cs="Times New Roman"/>
          <w:sz w:val="28"/>
          <w:szCs w:val="28"/>
        </w:rPr>
        <w:t xml:space="preserve">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w:t>
      </w:r>
      <w:r w:rsidR="007F58EE">
        <w:rPr>
          <w:rFonts w:ascii="Times New Roman" w:hAnsi="Times New Roman" w:cs="Times New Roman"/>
          <w:sz w:val="28"/>
          <w:szCs w:val="28"/>
        </w:rPr>
        <w:t>оящее решение в газете «Бурхунский информационный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7F58EE">
        <w:rPr>
          <w:rFonts w:ascii="Times New Roman" w:hAnsi="Times New Roman" w:cs="Times New Roman"/>
          <w:sz w:val="28"/>
          <w:szCs w:val="28"/>
        </w:rPr>
        <w:t>Бурхунского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7F58EE" w:rsidRDefault="004E4FAA" w:rsidP="007F58EE">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bookmarkEnd w:id="2"/>
    </w:p>
    <w:p w:rsidR="00E31D5E" w:rsidRPr="00E31D5E" w:rsidRDefault="00E31D5E" w:rsidP="00747C7D">
      <w:pPr>
        <w:suppressAutoHyphens/>
        <w:ind w:firstLine="709"/>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7F58EE">
        <w:rPr>
          <w:rFonts w:ascii="Times New Roman" w:hAnsi="Times New Roman" w:cs="Times New Roman"/>
          <w:sz w:val="28"/>
          <w:szCs w:val="28"/>
        </w:rPr>
        <w:t>Бурхунского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сельского посе</w:t>
      </w:r>
      <w:r w:rsidR="007F58EE">
        <w:rPr>
          <w:rFonts w:ascii="Times New Roman" w:hAnsi="Times New Roman" w:cs="Times New Roman"/>
          <w:sz w:val="28"/>
          <w:szCs w:val="28"/>
        </w:rPr>
        <w:t>ления                          В.А.Степанченко</w:t>
      </w:r>
    </w:p>
    <w:p w:rsidR="004B77A2" w:rsidRDefault="000D5802" w:rsidP="00747C7D">
      <w:pPr>
        <w:jc w:val="right"/>
        <w:rPr>
          <w:rStyle w:val="a3"/>
          <w:rFonts w:ascii="Times New Roman" w:hAnsi="Times New Roman" w:cs="Times New Roman"/>
          <w:b w:val="0"/>
          <w:color w:val="auto"/>
          <w:sz w:val="28"/>
          <w:szCs w:val="28"/>
        </w:rPr>
      </w:pPr>
      <w:bookmarkStart w:id="3" w:name="sub_1000"/>
      <w:r>
        <w:rPr>
          <w:rStyle w:val="a3"/>
          <w:rFonts w:ascii="Times New Roman" w:hAnsi="Times New Roman" w:cs="Times New Roman"/>
          <w:b w:val="0"/>
          <w:color w:val="auto"/>
          <w:sz w:val="28"/>
          <w:szCs w:val="28"/>
        </w:rPr>
        <w:lastRenderedPageBreak/>
        <w:t>Приложение</w:t>
      </w:r>
    </w:p>
    <w:bookmarkEnd w:id="3"/>
    <w:p w:rsidR="004B77A2" w:rsidRPr="006964F8"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7F58EE">
        <w:rPr>
          <w:rStyle w:val="a3"/>
          <w:rFonts w:ascii="Times New Roman" w:hAnsi="Times New Roman" w:cs="Times New Roman"/>
          <w:b w:val="0"/>
          <w:color w:val="auto"/>
          <w:sz w:val="28"/>
          <w:szCs w:val="28"/>
        </w:rPr>
        <w:t>Бурхунского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7F58EE">
        <w:rPr>
          <w:rStyle w:val="a3"/>
          <w:rFonts w:ascii="Times New Roman" w:hAnsi="Times New Roman" w:cs="Times New Roman"/>
          <w:b w:val="0"/>
          <w:color w:val="auto"/>
          <w:sz w:val="28"/>
          <w:szCs w:val="28"/>
        </w:rPr>
        <w:t>24</w:t>
      </w:r>
      <w:r w:rsidR="008E7E6F" w:rsidRPr="006964F8">
        <w:rPr>
          <w:rStyle w:val="a3"/>
          <w:rFonts w:ascii="Times New Roman" w:hAnsi="Times New Roman" w:cs="Times New Roman"/>
          <w:b w:val="0"/>
          <w:color w:val="auto"/>
          <w:sz w:val="28"/>
          <w:szCs w:val="28"/>
        </w:rPr>
        <w:t>»</w:t>
      </w:r>
      <w:r w:rsidR="007F58EE">
        <w:rPr>
          <w:rStyle w:val="a3"/>
          <w:rFonts w:ascii="Times New Roman" w:hAnsi="Times New Roman" w:cs="Times New Roman"/>
          <w:b w:val="0"/>
          <w:color w:val="auto"/>
          <w:sz w:val="28"/>
          <w:szCs w:val="28"/>
        </w:rPr>
        <w:t xml:space="preserve"> декабря</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7F58EE">
        <w:rPr>
          <w:rStyle w:val="a3"/>
          <w:rFonts w:ascii="Times New Roman" w:hAnsi="Times New Roman" w:cs="Times New Roman"/>
          <w:b w:val="0"/>
          <w:color w:val="auto"/>
          <w:sz w:val="28"/>
          <w:szCs w:val="28"/>
        </w:rPr>
        <w:t>№ 35</w:t>
      </w:r>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7F58EE">
        <w:rPr>
          <w:rFonts w:ascii="Times New Roman" w:hAnsi="Times New Roman" w:cs="Times New Roman"/>
          <w:color w:val="auto"/>
          <w:sz w:val="28"/>
          <w:szCs w:val="28"/>
        </w:rPr>
        <w:t>Бурхунского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4"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4"/>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5"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7F58EE">
        <w:rPr>
          <w:rFonts w:ascii="Times New Roman" w:hAnsi="Times New Roman" w:cs="Times New Roman"/>
          <w:sz w:val="28"/>
          <w:szCs w:val="28"/>
        </w:rPr>
        <w:t>Бурхунского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7F58EE">
        <w:rPr>
          <w:rFonts w:ascii="Times New Roman" w:hAnsi="Times New Roman" w:cs="Times New Roman"/>
          <w:sz w:val="28"/>
          <w:szCs w:val="28"/>
        </w:rPr>
        <w:t>Бурхунского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6" w:name="sub_102"/>
      <w:bookmarkEnd w:id="5"/>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7F58EE">
        <w:rPr>
          <w:rFonts w:ascii="Times New Roman" w:hAnsi="Times New Roman" w:cs="Times New Roman"/>
          <w:sz w:val="28"/>
          <w:szCs w:val="28"/>
        </w:rPr>
        <w:t>Бурхунского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7" w:name="sub_103"/>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lastRenderedPageBreak/>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8" w:name="sub_104"/>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8"/>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9" w:name="sub_132"/>
      <w:bookmarkStart w:id="10" w:name="sub_9132"/>
      <w:r w:rsidRPr="006964F8">
        <w:rPr>
          <w:rFonts w:ascii="Times New Roman" w:hAnsi="Times New Roman" w:cs="Times New Roman"/>
          <w:b/>
          <w:sz w:val="28"/>
          <w:szCs w:val="28"/>
        </w:rPr>
        <w:t>Инженерные сооружения:</w:t>
      </w:r>
    </w:p>
    <w:bookmarkEnd w:id="9"/>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0"/>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1" w:name="sub_200"/>
      <w:r w:rsidRPr="006964F8">
        <w:rPr>
          <w:rFonts w:ascii="Times New Roman" w:hAnsi="Times New Roman" w:cs="Times New Roman"/>
          <w:sz w:val="28"/>
          <w:szCs w:val="28"/>
        </w:rPr>
        <w:lastRenderedPageBreak/>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2" w:name="sub_201"/>
      <w:bookmarkEnd w:id="11"/>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2"/>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7F58EE">
        <w:rPr>
          <w:rFonts w:ascii="Times New Roman" w:hAnsi="Times New Roman" w:cs="Times New Roman"/>
          <w:sz w:val="28"/>
          <w:szCs w:val="28"/>
        </w:rPr>
        <w:t>Бурхунского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3"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7F58EE">
        <w:rPr>
          <w:rFonts w:ascii="Times New Roman" w:hAnsi="Times New Roman" w:cs="Times New Roman"/>
          <w:sz w:val="28"/>
          <w:szCs w:val="28"/>
        </w:rPr>
        <w:t>Бурхунского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4" w:name="sub_2013"/>
      <w:bookmarkEnd w:id="13"/>
      <w:r w:rsidRPr="006964F8">
        <w:rPr>
          <w:rFonts w:ascii="Times New Roman" w:hAnsi="Times New Roman" w:cs="Times New Roman"/>
          <w:sz w:val="28"/>
          <w:szCs w:val="28"/>
        </w:rPr>
        <w:t xml:space="preserve">2.1.3. Составляющее муниципальную казну </w:t>
      </w:r>
      <w:r w:rsidR="007F58EE">
        <w:rPr>
          <w:rFonts w:ascii="Times New Roman" w:hAnsi="Times New Roman" w:cs="Times New Roman"/>
          <w:sz w:val="28"/>
          <w:szCs w:val="28"/>
        </w:rPr>
        <w:t>Бурхунского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4"/>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5"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6" w:name="sub_301"/>
      <w:bookmarkEnd w:id="15"/>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6"/>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7F58EE">
        <w:rPr>
          <w:rFonts w:ascii="Times New Roman" w:hAnsi="Times New Roman" w:cs="Times New Roman"/>
          <w:sz w:val="28"/>
          <w:szCs w:val="28"/>
        </w:rPr>
        <w:t>Бурхунского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7"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8" w:name="sub_400"/>
      <w:bookmarkEnd w:id="17"/>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8"/>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4.2.  С</w:t>
      </w:r>
      <w:r w:rsidR="007F58EE">
        <w:rPr>
          <w:rFonts w:ascii="Times New Roman" w:hAnsi="Times New Roman" w:cs="Times New Roman"/>
          <w:sz w:val="28"/>
          <w:szCs w:val="28"/>
        </w:rPr>
        <w:t xml:space="preserve"> </w:t>
      </w:r>
      <w:r w:rsidR="007F58EE" w:rsidRPr="006964F8">
        <w:rPr>
          <w:rFonts w:ascii="Times New Roman" w:hAnsi="Times New Roman" w:cs="Times New Roman"/>
          <w:sz w:val="28"/>
          <w:szCs w:val="28"/>
        </w:rPr>
        <w:t>ссудополучателями муниципального</w:t>
      </w:r>
      <w:r w:rsidRPr="006964F8">
        <w:rPr>
          <w:rFonts w:ascii="Times New Roman" w:hAnsi="Times New Roman" w:cs="Times New Roman"/>
          <w:sz w:val="28"/>
          <w:szCs w:val="28"/>
        </w:rPr>
        <w:t xml:space="preserve">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w:t>
      </w:r>
      <w:r w:rsidR="007F58EE" w:rsidRPr="006964F8">
        <w:rPr>
          <w:rFonts w:ascii="Times New Roman" w:hAnsi="Times New Roman" w:cs="Times New Roman"/>
          <w:sz w:val="28"/>
          <w:szCs w:val="28"/>
        </w:rPr>
        <w:t>Порядка, выполняющие</w:t>
      </w:r>
      <w:r w:rsidR="00966070" w:rsidRPr="006964F8">
        <w:rPr>
          <w:rFonts w:ascii="Times New Roman" w:hAnsi="Times New Roman" w:cs="Times New Roman"/>
          <w:sz w:val="28"/>
          <w:szCs w:val="28"/>
        </w:rPr>
        <w:t xml:space="preserve"> социально – значимые для муниципального образования функции, перечень которых </w:t>
      </w:r>
      <w:r w:rsidR="00966070" w:rsidRPr="006964F8">
        <w:rPr>
          <w:rFonts w:ascii="Times New Roman" w:hAnsi="Times New Roman" w:cs="Times New Roman"/>
          <w:sz w:val="28"/>
          <w:szCs w:val="28"/>
        </w:rPr>
        <w:lastRenderedPageBreak/>
        <w:t xml:space="preserve">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19"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19"/>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0"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w:t>
      </w:r>
      <w:r w:rsidR="007F58EE" w:rsidRPr="006964F8">
        <w:rPr>
          <w:rFonts w:ascii="Times New Roman" w:hAnsi="Times New Roman" w:cs="Times New Roman"/>
          <w:sz w:val="28"/>
          <w:szCs w:val="28"/>
        </w:rPr>
        <w:t xml:space="preserve">муниципальные </w:t>
      </w:r>
      <w:r w:rsidR="007F58EE">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w:t>
      </w:r>
      <w:r w:rsidR="007F58EE" w:rsidRPr="006964F8">
        <w:rPr>
          <w:rFonts w:ascii="Times New Roman" w:hAnsi="Times New Roman" w:cs="Times New Roman"/>
          <w:sz w:val="28"/>
          <w:szCs w:val="28"/>
        </w:rPr>
        <w:t>муниципального имущества,</w:t>
      </w:r>
      <w:r w:rsidR="00C94CEE" w:rsidRPr="006964F8">
        <w:rPr>
          <w:rFonts w:ascii="Times New Roman" w:hAnsi="Times New Roman" w:cs="Times New Roman"/>
          <w:sz w:val="28"/>
          <w:szCs w:val="28"/>
        </w:rPr>
        <w:t xml:space="preserve">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1"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7F58EE">
        <w:rPr>
          <w:rFonts w:ascii="Times New Roman" w:hAnsi="Times New Roman" w:cs="Times New Roman"/>
          <w:sz w:val="28"/>
          <w:szCs w:val="28"/>
        </w:rPr>
        <w:t>Бурхунского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2"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3" w:name="sub_242"/>
      <w:bookmarkEnd w:id="22"/>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w:t>
      </w:r>
      <w:r w:rsidRPr="006964F8">
        <w:rPr>
          <w:rFonts w:ascii="Times New Roman" w:hAnsi="Times New Roman" w:cs="Times New Roman"/>
          <w:sz w:val="28"/>
          <w:szCs w:val="28"/>
        </w:rPr>
        <w:lastRenderedPageBreak/>
        <w:t>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3"/>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4"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5" w:name="sub_44305"/>
      <w:bookmarkEnd w:id="24"/>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5"/>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6"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7"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7F58EE">
        <w:rPr>
          <w:sz w:val="28"/>
          <w:szCs w:val="28"/>
        </w:rPr>
        <w:t>газете «Бурхунский информационный</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8" w:name="sub_9392"/>
      <w:bookmarkStart w:id="29"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0" w:name="sub_310"/>
      <w:bookmarkEnd w:id="28"/>
      <w:bookmarkEnd w:id="29"/>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7F58EE"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1" w:name="sub_311"/>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w:t>
      </w:r>
      <w:r w:rsidR="00F61EF9" w:rsidRPr="006964F8">
        <w:rPr>
          <w:rFonts w:ascii="Times New Roman" w:hAnsi="Times New Roman" w:cs="Times New Roman"/>
          <w:sz w:val="28"/>
          <w:szCs w:val="28"/>
        </w:rPr>
        <w:lastRenderedPageBreak/>
        <w:t xml:space="preserve">хозяйственного ведения, права оперативного управления) на </w:t>
      </w:r>
      <w:r w:rsidR="007F58EE"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2" w:name="sub_313"/>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2"/>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w:t>
      </w:r>
      <w:r w:rsidR="007F58EE" w:rsidRPr="006964F8">
        <w:rPr>
          <w:rFonts w:ascii="Times New Roman" w:hAnsi="Times New Roman" w:cs="Times New Roman"/>
          <w:sz w:val="28"/>
          <w:szCs w:val="28"/>
        </w:rPr>
        <w:t>пользование) муниципального</w:t>
      </w:r>
      <w:r w:rsidRPr="006964F8">
        <w:rPr>
          <w:rFonts w:ascii="Times New Roman" w:hAnsi="Times New Roman" w:cs="Times New Roman"/>
          <w:sz w:val="28"/>
          <w:szCs w:val="28"/>
        </w:rPr>
        <w:t xml:space="preserve">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3"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4" w:name="sub_6021"/>
      <w:bookmarkEnd w:id="33"/>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5" w:name="sub_6022"/>
      <w:bookmarkEnd w:id="34"/>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6" w:name="sub_6023"/>
      <w:bookmarkEnd w:id="35"/>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муниципального недвижимого имущества, составляющего </w:t>
      </w:r>
      <w:r w:rsidRPr="006964F8">
        <w:rPr>
          <w:rFonts w:ascii="Times New Roman" w:hAnsi="Times New Roman" w:cs="Times New Roman"/>
          <w:sz w:val="28"/>
          <w:szCs w:val="28"/>
        </w:rPr>
        <w:lastRenderedPageBreak/>
        <w:t>муниципальную казну, заверенный подписью уполномоченного лица и печатью 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7" w:name="sub_6024"/>
      <w:bookmarkEnd w:id="36"/>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8" w:name="sub_6025"/>
      <w:bookmarkEnd w:id="37"/>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39" w:name="sub_6026"/>
      <w:bookmarkEnd w:id="38"/>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0" w:name="sub_603"/>
      <w:bookmarkEnd w:id="39"/>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1" w:name="sub_604"/>
      <w:bookmarkEnd w:id="40"/>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2" w:name="sub_6041"/>
      <w:bookmarkEnd w:id="41"/>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3" w:name="sub_6042"/>
      <w:bookmarkEnd w:id="42"/>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4" w:name="sub_6043"/>
      <w:bookmarkEnd w:id="43"/>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5" w:name="sub_6044"/>
      <w:bookmarkEnd w:id="44"/>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5"/>
      <w:bookmarkEnd w:id="45"/>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lastRenderedPageBreak/>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7" w:name="sub_605"/>
      <w:bookmarkEnd w:id="46"/>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8" w:name="sub_606"/>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49"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0" w:name="sub_701"/>
      <w:bookmarkEnd w:id="49"/>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0"/>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1"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2" w:name="sub_7021"/>
      <w:bookmarkEnd w:id="51"/>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3" w:name="sub_7022"/>
      <w:bookmarkEnd w:id="52"/>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3"/>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4"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5" w:name="sub_7024"/>
      <w:bookmarkEnd w:id="54"/>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6" w:name="sub_7025"/>
      <w:bookmarkEnd w:id="55"/>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7" w:name="sub_7026"/>
      <w:bookmarkEnd w:id="56"/>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8" w:name="sub_7027"/>
      <w:bookmarkEnd w:id="57"/>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59" w:name="sub_7028"/>
      <w:bookmarkEnd w:id="58"/>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0" w:name="sub_7029"/>
      <w:bookmarkEnd w:id="59"/>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1" w:name="sub_70210"/>
      <w:bookmarkEnd w:id="60"/>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2" w:name="sub_70211"/>
      <w:bookmarkEnd w:id="61"/>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3" w:name="sub_703"/>
      <w:bookmarkEnd w:id="62"/>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4" w:name="sub_704"/>
      <w:bookmarkEnd w:id="63"/>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5" w:name="sub_705"/>
      <w:bookmarkEnd w:id="64"/>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6" w:name="sub_7051"/>
      <w:bookmarkEnd w:id="65"/>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7" w:name="sub_7052"/>
      <w:bookmarkEnd w:id="66"/>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8" w:name="sub_706"/>
      <w:bookmarkEnd w:id="67"/>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8"/>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69"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0" w:name="sub_708"/>
      <w:bookmarkEnd w:id="69"/>
      <w:r w:rsidRPr="006964F8">
        <w:rPr>
          <w:rFonts w:ascii="Times New Roman" w:hAnsi="Times New Roman" w:cs="Times New Roman"/>
          <w:sz w:val="28"/>
          <w:szCs w:val="28"/>
        </w:rPr>
        <w:t xml:space="preserve">7.8. Арендаторы, получившие в аренду муниципальное имущество, несут </w:t>
      </w:r>
      <w:r w:rsidRPr="006964F8">
        <w:rPr>
          <w:rFonts w:ascii="Times New Roman" w:hAnsi="Times New Roman" w:cs="Times New Roman"/>
          <w:sz w:val="28"/>
          <w:szCs w:val="28"/>
        </w:rPr>
        <w:lastRenderedPageBreak/>
        <w:t>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1" w:name="sub_709"/>
      <w:bookmarkEnd w:id="70"/>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1"/>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2"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2"/>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3"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4" w:name="sub_802"/>
      <w:bookmarkEnd w:id="73"/>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5"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6"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7" w:name="sub_806"/>
      <w:bookmarkEnd w:id="76"/>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7"/>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8"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79" w:name="sub_9011"/>
      <w:bookmarkEnd w:id="78"/>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79"/>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0"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1" w:name="sub_9014"/>
      <w:bookmarkEnd w:id="80"/>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5"/>
      <w:bookmarkEnd w:id="81"/>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3" w:name="sub_9016"/>
      <w:bookmarkEnd w:id="82"/>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w:t>
      </w:r>
      <w:r w:rsidRPr="006964F8">
        <w:rPr>
          <w:rFonts w:ascii="Times New Roman" w:hAnsi="Times New Roman" w:cs="Times New Roman"/>
          <w:sz w:val="28"/>
          <w:szCs w:val="28"/>
        </w:rPr>
        <w:lastRenderedPageBreak/>
        <w:t>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4" w:name="sub_9018"/>
      <w:bookmarkEnd w:id="83"/>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4"/>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5"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5"/>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6"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7"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8" w:name="sub_1103"/>
      <w:bookmarkEnd w:id="87"/>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9" w:name="sub_1105"/>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xml:space="preserve">. При возмещении затрат на капитальный ремонт учитываются </w:t>
      </w:r>
      <w:r w:rsidRPr="006964F8">
        <w:rPr>
          <w:rFonts w:ascii="Times New Roman" w:hAnsi="Times New Roman" w:cs="Times New Roman"/>
          <w:sz w:val="28"/>
          <w:szCs w:val="28"/>
        </w:rPr>
        <w:lastRenderedPageBreak/>
        <w:t>следующие виды работ:</w:t>
      </w:r>
    </w:p>
    <w:p w:rsidR="004B77A2" w:rsidRPr="006964F8" w:rsidRDefault="00B13443" w:rsidP="004A2EA3">
      <w:pPr>
        <w:ind w:firstLine="709"/>
        <w:rPr>
          <w:rFonts w:ascii="Times New Roman" w:hAnsi="Times New Roman" w:cs="Times New Roman"/>
          <w:sz w:val="28"/>
          <w:szCs w:val="28"/>
        </w:rPr>
      </w:pPr>
      <w:bookmarkStart w:id="90" w:name="sub_11051"/>
      <w:bookmarkEnd w:id="89"/>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1" w:name="sub_11052"/>
      <w:bookmarkEnd w:id="90"/>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2" w:name="sub_11053"/>
      <w:bookmarkEnd w:id="91"/>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3" w:name="sub_11054"/>
      <w:bookmarkEnd w:id="92"/>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4" w:name="sub_1106"/>
      <w:bookmarkEnd w:id="93"/>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7"/>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5"/>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7F58EE"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6"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7" w:name="sub_1110"/>
      <w:bookmarkEnd w:id="96"/>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w:t>
      </w:r>
      <w:r w:rsidRPr="006964F8">
        <w:rPr>
          <w:rFonts w:ascii="Times New Roman" w:hAnsi="Times New Roman" w:cs="Times New Roman"/>
          <w:sz w:val="28"/>
          <w:szCs w:val="28"/>
        </w:rPr>
        <w:lastRenderedPageBreak/>
        <w:t xml:space="preserve">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8" w:name="sub_11101"/>
      <w:bookmarkEnd w:id="97"/>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99" w:name="sub_11102"/>
      <w:bookmarkEnd w:id="98"/>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0" w:name="sub_11103"/>
      <w:bookmarkEnd w:id="99"/>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0"/>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1"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2"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3" w:name="sub_1201"/>
      <w:bookmarkEnd w:id="1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4"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5" w:name="sub_1203"/>
      <w:bookmarkEnd w:id="104"/>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6" w:name="sub_1204"/>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7" w:name="sub_12041"/>
      <w:bookmarkEnd w:id="106"/>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8" w:name="sub_12042"/>
      <w:bookmarkEnd w:id="107"/>
      <w:r w:rsidRPr="006964F8">
        <w:rPr>
          <w:rFonts w:ascii="Times New Roman" w:hAnsi="Times New Roman" w:cs="Times New Roman"/>
          <w:sz w:val="28"/>
          <w:szCs w:val="28"/>
        </w:rPr>
        <w:lastRenderedPageBreak/>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09" w:name="sub_12043"/>
      <w:bookmarkEnd w:id="108"/>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0" w:name="sub_12044"/>
      <w:bookmarkEnd w:id="109"/>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1" w:name="sub_12045"/>
      <w:bookmarkEnd w:id="110"/>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1"/>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2"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3"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lastRenderedPageBreak/>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4"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4"/>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5"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6"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7" w:name="sub_1301"/>
      <w:bookmarkEnd w:id="116"/>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7"/>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7F58EE"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Бурхунского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7F58EE">
        <w:rPr>
          <w:rFonts w:ascii="Times New Roman" w:hAnsi="Times New Roman" w:cs="Times New Roman"/>
          <w:sz w:val="28"/>
          <w:szCs w:val="28"/>
        </w:rPr>
        <w:t>Бурхунского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7F58EE">
        <w:rPr>
          <w:rFonts w:ascii="Times New Roman" w:hAnsi="Times New Roman" w:cs="Times New Roman"/>
          <w:sz w:val="28"/>
          <w:szCs w:val="28"/>
        </w:rPr>
        <w:t>Бурхунского</w:t>
      </w:r>
      <w:bookmarkStart w:id="118" w:name="_GoBack"/>
      <w:bookmarkEnd w:id="118"/>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1A" w:rsidRDefault="00AB161A">
      <w:r>
        <w:separator/>
      </w:r>
    </w:p>
  </w:endnote>
  <w:endnote w:type="continuationSeparator" w:id="0">
    <w:p w:rsidR="00AB161A" w:rsidRDefault="00AB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1A" w:rsidRDefault="00AB161A">
      <w:r>
        <w:separator/>
      </w:r>
    </w:p>
  </w:footnote>
  <w:footnote w:type="continuationSeparator" w:id="0">
    <w:p w:rsidR="00AB161A" w:rsidRDefault="00AB16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256FE"/>
    <w:rsid w:val="00431AEA"/>
    <w:rsid w:val="00441524"/>
    <w:rsid w:val="00486775"/>
    <w:rsid w:val="004A2EA3"/>
    <w:rsid w:val="004A7650"/>
    <w:rsid w:val="004B0552"/>
    <w:rsid w:val="004B77A2"/>
    <w:rsid w:val="004C4DA8"/>
    <w:rsid w:val="004C6E18"/>
    <w:rsid w:val="004E4FAA"/>
    <w:rsid w:val="00505382"/>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F16AF"/>
    <w:rsid w:val="007F58EE"/>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B161A"/>
    <w:rsid w:val="00AD2AE5"/>
    <w:rsid w:val="00AD382C"/>
    <w:rsid w:val="00B13443"/>
    <w:rsid w:val="00B40B72"/>
    <w:rsid w:val="00B853FA"/>
    <w:rsid w:val="00B97039"/>
    <w:rsid w:val="00BA6E6F"/>
    <w:rsid w:val="00BC6AF9"/>
    <w:rsid w:val="00BE0F18"/>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C2519"/>
  <w15:docId w15:val="{46F843E3-9BF2-437F-94D9-2710DBA5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4642-D0D6-4E3F-BCEF-796F58AC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6999</Words>
  <Characters>39898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 Windows</cp:lastModifiedBy>
  <cp:revision>9</cp:revision>
  <cp:lastPrinted>2024-10-16T09:14:00Z</cp:lastPrinted>
  <dcterms:created xsi:type="dcterms:W3CDTF">2024-12-12T01:52:00Z</dcterms:created>
  <dcterms:modified xsi:type="dcterms:W3CDTF">2025-01-06T06:01:00Z</dcterms:modified>
</cp:coreProperties>
</file>